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WHMIS regulations as outlined by WorkSafeBC and the </w:t>
      </w:r>
      <w:r w:rsidDel="00000000" w:rsidR="00000000" w:rsidRPr="00000000">
        <w:rPr>
          <w:rFonts w:ascii="Calibri" w:cs="Calibri" w:eastAsia="Calibri" w:hAnsi="Calibri"/>
          <w:i w:val="1"/>
          <w:rtl w:val="0"/>
        </w:rPr>
        <w:t xml:space="preserve">Hazardous Product Act</w:t>
      </w:r>
      <w:r w:rsidDel="00000000" w:rsidR="00000000" w:rsidRPr="00000000">
        <w:rPr>
          <w:rFonts w:ascii="Calibri" w:cs="Calibri" w:eastAsia="Calibri" w:hAnsi="Calibri"/>
          <w:rtl w:val="0"/>
        </w:rPr>
        <w:t xml:space="preserve"> and associated regulations.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P7E1liYeriZ+kH52m/vn8snpA==">CgMxLjA4AHIhMXotVFZ0NjN4MUdnRDhHSjFoeW5RZjB6ei01TE92clJS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2022-06-08T19:23:00Z</dcterms:created>
  <dc:creator>Kelly</dc:creator>
</cp:coreProperties>
</file>